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323" w:rsidRDefault="00AB7D3D" w:rsidP="00304323">
      <w:pPr>
        <w:jc w:val="center"/>
        <w:rPr>
          <w:noProof/>
          <w:sz w:val="24"/>
          <w:szCs w:val="24"/>
        </w:rPr>
      </w:pPr>
      <w:r>
        <w:rPr>
          <w:noProof/>
        </w:rPr>
        <w:drawing>
          <wp:inline distT="0" distB="0" distL="0" distR="0">
            <wp:extent cx="914400" cy="1862051"/>
            <wp:effectExtent l="0" t="0" r="0" b="5080"/>
            <wp:docPr id="1" name="Picture 1" descr="https://www.stpaul.gov/images/pages/N113/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paul.gov/images/pages/N113/City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862051"/>
                    </a:xfrm>
                    <a:prstGeom prst="rect">
                      <a:avLst/>
                    </a:prstGeom>
                    <a:noFill/>
                    <a:ln>
                      <a:noFill/>
                    </a:ln>
                  </pic:spPr>
                </pic:pic>
              </a:graphicData>
            </a:graphic>
          </wp:inline>
        </w:drawing>
      </w:r>
    </w:p>
    <w:p w:rsidR="004A4DE7" w:rsidRPr="00304323" w:rsidRDefault="00E5364B" w:rsidP="00304323">
      <w:pPr>
        <w:jc w:val="center"/>
        <w:rPr>
          <w:rFonts w:ascii="dearJoe 2" w:hAnsi="dearJoe 2"/>
          <w:b/>
          <w:sz w:val="28"/>
          <w:szCs w:val="28"/>
        </w:rPr>
      </w:pPr>
      <w:r>
        <w:rPr>
          <w:rFonts w:ascii="dearJoe 2" w:hAnsi="dearJoe 2"/>
          <w:b/>
          <w:sz w:val="28"/>
          <w:szCs w:val="28"/>
        </w:rPr>
        <w:t>The City of St. Paul</w:t>
      </w:r>
    </w:p>
    <w:p w:rsidR="001A08EF" w:rsidRPr="00304323" w:rsidRDefault="00E5364B" w:rsidP="00304323">
      <w:pPr>
        <w:pStyle w:val="BodyText2"/>
        <w:rPr>
          <w:rFonts w:asciiTheme="minorHAnsi" w:hAnsiTheme="minorHAnsi"/>
          <w:sz w:val="24"/>
          <w:szCs w:val="24"/>
        </w:rPr>
      </w:pPr>
      <w:r>
        <w:rPr>
          <w:rFonts w:asciiTheme="minorHAnsi" w:hAnsiTheme="minorHAnsi"/>
          <w:b w:val="0"/>
          <w:sz w:val="24"/>
          <w:szCs w:val="24"/>
        </w:rPr>
        <w:t xml:space="preserve">By </w:t>
      </w:r>
      <w:proofErr w:type="spellStart"/>
      <w:r>
        <w:rPr>
          <w:rFonts w:asciiTheme="minorHAnsi" w:hAnsiTheme="minorHAnsi"/>
          <w:b w:val="0"/>
          <w:sz w:val="24"/>
          <w:szCs w:val="24"/>
        </w:rPr>
        <w:t>Bostrom</w:t>
      </w:r>
      <w:proofErr w:type="spellEnd"/>
      <w:r>
        <w:rPr>
          <w:rFonts w:asciiTheme="minorHAnsi" w:hAnsiTheme="minorHAnsi"/>
          <w:b w:val="0"/>
          <w:sz w:val="24"/>
          <w:szCs w:val="24"/>
        </w:rPr>
        <w:t xml:space="preserve">, </w:t>
      </w:r>
      <w:proofErr w:type="spellStart"/>
      <w:r>
        <w:rPr>
          <w:rFonts w:asciiTheme="minorHAnsi" w:hAnsiTheme="minorHAnsi"/>
          <w:b w:val="0"/>
          <w:sz w:val="24"/>
          <w:szCs w:val="24"/>
        </w:rPr>
        <w:t>Brendmoen</w:t>
      </w:r>
      <w:proofErr w:type="spellEnd"/>
      <w:r>
        <w:rPr>
          <w:rFonts w:asciiTheme="minorHAnsi" w:hAnsiTheme="minorHAnsi"/>
          <w:b w:val="0"/>
          <w:sz w:val="24"/>
          <w:szCs w:val="24"/>
        </w:rPr>
        <w:t xml:space="preserve">, </w:t>
      </w:r>
      <w:proofErr w:type="spellStart"/>
      <w:r>
        <w:rPr>
          <w:rFonts w:asciiTheme="minorHAnsi" w:hAnsiTheme="minorHAnsi"/>
          <w:b w:val="0"/>
          <w:sz w:val="24"/>
          <w:szCs w:val="24"/>
        </w:rPr>
        <w:t>Noecker</w:t>
      </w:r>
      <w:proofErr w:type="spellEnd"/>
      <w:r>
        <w:rPr>
          <w:rFonts w:asciiTheme="minorHAnsi" w:hAnsiTheme="minorHAnsi"/>
          <w:b w:val="0"/>
          <w:sz w:val="24"/>
          <w:szCs w:val="24"/>
        </w:rPr>
        <w:t>, Prince, Stark, Thao, and Tolbert</w:t>
      </w:r>
    </w:p>
    <w:p w:rsidR="00304323" w:rsidRPr="00304323" w:rsidRDefault="00304323" w:rsidP="00304323">
      <w:pPr>
        <w:jc w:val="center"/>
        <w:rPr>
          <w:sz w:val="24"/>
          <w:szCs w:val="24"/>
        </w:rPr>
      </w:pPr>
    </w:p>
    <w:p w:rsidR="001A08EF" w:rsidRPr="00304323" w:rsidRDefault="001A08EF" w:rsidP="00304323">
      <w:pPr>
        <w:jc w:val="center"/>
        <w:rPr>
          <w:sz w:val="24"/>
          <w:szCs w:val="24"/>
        </w:rPr>
      </w:pPr>
      <w:r w:rsidRPr="00304323">
        <w:rPr>
          <w:sz w:val="24"/>
          <w:szCs w:val="24"/>
        </w:rPr>
        <w:t>Supporting</w:t>
      </w:r>
    </w:p>
    <w:p w:rsidR="001A08EF" w:rsidRPr="00304323" w:rsidRDefault="00443B79" w:rsidP="001A08EF">
      <w:pPr>
        <w:rPr>
          <w:b/>
          <w:sz w:val="24"/>
          <w:szCs w:val="24"/>
        </w:rPr>
      </w:pPr>
      <w:r>
        <w:rPr>
          <w:b/>
          <w:sz w:val="24"/>
          <w:szCs w:val="24"/>
        </w:rPr>
        <w:t xml:space="preserve">A RESOLUTION SUPPORTING </w:t>
      </w:r>
      <w:r w:rsidR="001A08EF" w:rsidRPr="00304323">
        <w:rPr>
          <w:b/>
          <w:sz w:val="24"/>
          <w:szCs w:val="24"/>
        </w:rPr>
        <w:t>CITIES FOR THE CONVENTION ON THE ELIMINATION OF ALL  F</w:t>
      </w:r>
      <w:r w:rsidR="00C74DC6">
        <w:rPr>
          <w:b/>
          <w:sz w:val="24"/>
          <w:szCs w:val="24"/>
        </w:rPr>
        <w:t xml:space="preserve">ORMS OF DISCRIMINATION AGAINST </w:t>
      </w:r>
      <w:r>
        <w:rPr>
          <w:b/>
          <w:sz w:val="24"/>
          <w:szCs w:val="24"/>
        </w:rPr>
        <w:t xml:space="preserve">WOMEN </w:t>
      </w:r>
      <w:r w:rsidR="001A08EF" w:rsidRPr="00304323">
        <w:rPr>
          <w:b/>
          <w:sz w:val="24"/>
          <w:szCs w:val="24"/>
        </w:rPr>
        <w:t>(</w:t>
      </w:r>
      <w:r>
        <w:rPr>
          <w:b/>
          <w:sz w:val="24"/>
          <w:szCs w:val="24"/>
        </w:rPr>
        <w:t>CEDAW)  INITIATIVE AND SUPPORT</w:t>
      </w:r>
      <w:r w:rsidR="00C22BD3">
        <w:rPr>
          <w:b/>
          <w:sz w:val="24"/>
          <w:szCs w:val="24"/>
        </w:rPr>
        <w:t>ING</w:t>
      </w:r>
      <w:r w:rsidR="001A08EF" w:rsidRPr="00304323">
        <w:rPr>
          <w:b/>
          <w:sz w:val="24"/>
          <w:szCs w:val="24"/>
        </w:rPr>
        <w:t xml:space="preserve"> THE PRINCIPLES OF</w:t>
      </w:r>
      <w:r>
        <w:rPr>
          <w:b/>
          <w:sz w:val="24"/>
          <w:szCs w:val="24"/>
        </w:rPr>
        <w:t xml:space="preserve"> THE U</w:t>
      </w:r>
      <w:r w:rsidR="00407F9C">
        <w:rPr>
          <w:b/>
          <w:sz w:val="24"/>
          <w:szCs w:val="24"/>
        </w:rPr>
        <w:t xml:space="preserve">NITED </w:t>
      </w:r>
      <w:r>
        <w:rPr>
          <w:b/>
          <w:sz w:val="24"/>
          <w:szCs w:val="24"/>
        </w:rPr>
        <w:t>N</w:t>
      </w:r>
      <w:r w:rsidR="00407F9C">
        <w:rPr>
          <w:b/>
          <w:sz w:val="24"/>
          <w:szCs w:val="24"/>
        </w:rPr>
        <w:t xml:space="preserve">ATIONS CONVENTION ON THE </w:t>
      </w:r>
      <w:r>
        <w:rPr>
          <w:b/>
          <w:sz w:val="24"/>
          <w:szCs w:val="24"/>
        </w:rPr>
        <w:t xml:space="preserve">ELIMINATION OF ALL FORMS </w:t>
      </w:r>
      <w:r w:rsidR="001A08EF" w:rsidRPr="00304323">
        <w:rPr>
          <w:b/>
          <w:sz w:val="24"/>
          <w:szCs w:val="24"/>
        </w:rPr>
        <w:t>OF  DISCRIMINAT</w:t>
      </w:r>
      <w:r>
        <w:rPr>
          <w:b/>
          <w:sz w:val="24"/>
          <w:szCs w:val="24"/>
        </w:rPr>
        <w:t xml:space="preserve">ION AGAINST WOMEN AT THE LOCAL </w:t>
      </w:r>
      <w:r w:rsidR="001A08EF" w:rsidRPr="00304323">
        <w:rPr>
          <w:b/>
          <w:sz w:val="24"/>
          <w:szCs w:val="24"/>
        </w:rPr>
        <w:t>LEVEL</w:t>
      </w:r>
    </w:p>
    <w:p w:rsidR="001A08EF" w:rsidRPr="00304323" w:rsidRDefault="001A08EF" w:rsidP="001A08EF">
      <w:pPr>
        <w:tabs>
          <w:tab w:val="left" w:pos="1440"/>
        </w:tabs>
        <w:spacing w:after="120"/>
        <w:ind w:left="1440" w:hanging="1440"/>
        <w:rPr>
          <w:smallCaps/>
          <w:sz w:val="24"/>
          <w:szCs w:val="24"/>
        </w:rPr>
      </w:pPr>
    </w:p>
    <w:p w:rsidR="001A08EF" w:rsidRDefault="001A08EF" w:rsidP="001A08EF">
      <w:pPr>
        <w:tabs>
          <w:tab w:val="left" w:pos="1440"/>
        </w:tabs>
        <w:spacing w:after="120"/>
        <w:ind w:left="1440" w:hanging="1440"/>
        <w:rPr>
          <w:sz w:val="24"/>
          <w:szCs w:val="24"/>
        </w:rPr>
      </w:pPr>
      <w:r w:rsidRPr="00304323">
        <w:rPr>
          <w:smallCaps/>
          <w:sz w:val="24"/>
          <w:szCs w:val="24"/>
        </w:rPr>
        <w:t>Whereas</w:t>
      </w:r>
      <w:r w:rsidR="00C74DC6">
        <w:rPr>
          <w:sz w:val="24"/>
          <w:szCs w:val="24"/>
        </w:rPr>
        <w:t>:</w:t>
      </w:r>
      <w:r w:rsidR="00C74DC6">
        <w:rPr>
          <w:sz w:val="24"/>
          <w:szCs w:val="24"/>
        </w:rPr>
        <w:tab/>
        <w:t xml:space="preserve">CEDAW was </w:t>
      </w:r>
      <w:r w:rsidR="00443B79">
        <w:rPr>
          <w:sz w:val="24"/>
          <w:szCs w:val="24"/>
        </w:rPr>
        <w:t xml:space="preserve">adopted by the United Nations </w:t>
      </w:r>
      <w:r w:rsidRPr="00304323">
        <w:rPr>
          <w:sz w:val="24"/>
          <w:szCs w:val="24"/>
        </w:rPr>
        <w:t>General As</w:t>
      </w:r>
      <w:r w:rsidR="00443B79">
        <w:rPr>
          <w:sz w:val="24"/>
          <w:szCs w:val="24"/>
        </w:rPr>
        <w:t xml:space="preserve">sembly </w:t>
      </w:r>
      <w:r w:rsidR="000445C0">
        <w:rPr>
          <w:sz w:val="24"/>
          <w:szCs w:val="24"/>
        </w:rPr>
        <w:t xml:space="preserve">on December </w:t>
      </w:r>
      <w:r w:rsidR="00C74DC6">
        <w:rPr>
          <w:sz w:val="24"/>
          <w:szCs w:val="24"/>
        </w:rPr>
        <w:t xml:space="preserve">18, 1979, </w:t>
      </w:r>
      <w:r w:rsidR="00443B79">
        <w:rPr>
          <w:sz w:val="24"/>
          <w:szCs w:val="24"/>
        </w:rPr>
        <w:t xml:space="preserve">and became an international treaty as of </w:t>
      </w:r>
      <w:r w:rsidRPr="00304323">
        <w:rPr>
          <w:sz w:val="24"/>
          <w:szCs w:val="24"/>
        </w:rPr>
        <w:t>Septemb</w:t>
      </w:r>
      <w:r w:rsidR="00443B79">
        <w:rPr>
          <w:sz w:val="24"/>
          <w:szCs w:val="24"/>
        </w:rPr>
        <w:t xml:space="preserve">er 3, 1981, </w:t>
      </w:r>
      <w:r w:rsidR="00C74DC6">
        <w:rPr>
          <w:sz w:val="24"/>
          <w:szCs w:val="24"/>
        </w:rPr>
        <w:t xml:space="preserve">and 189 UN member </w:t>
      </w:r>
      <w:r w:rsidRPr="00304323">
        <w:rPr>
          <w:sz w:val="24"/>
          <w:szCs w:val="24"/>
        </w:rPr>
        <w:t>nations have agreed to be bound by CEDAW's provisions; and</w:t>
      </w:r>
    </w:p>
    <w:p w:rsidR="00407F9C" w:rsidRPr="00304323" w:rsidRDefault="00407F9C" w:rsidP="00407F9C">
      <w:pPr>
        <w:tabs>
          <w:tab w:val="left" w:pos="1440"/>
        </w:tabs>
        <w:spacing w:after="120"/>
        <w:ind w:left="1440" w:hanging="1440"/>
        <w:rPr>
          <w:sz w:val="24"/>
          <w:szCs w:val="24"/>
        </w:rPr>
      </w:pPr>
      <w:r w:rsidRPr="00304323">
        <w:rPr>
          <w:smallCaps/>
          <w:sz w:val="24"/>
          <w:szCs w:val="24"/>
        </w:rPr>
        <w:t>Whereas</w:t>
      </w:r>
      <w:r>
        <w:rPr>
          <w:sz w:val="24"/>
          <w:szCs w:val="24"/>
        </w:rPr>
        <w:t>:</w:t>
      </w:r>
      <w:r>
        <w:rPr>
          <w:sz w:val="24"/>
          <w:szCs w:val="24"/>
        </w:rPr>
        <w:tab/>
        <w:t>The only six nations in the world that have not yet supported CEDAW are Somalia, Sudan, Iran, Tonga, Palau, and the United States</w:t>
      </w:r>
      <w:r w:rsidRPr="00304323">
        <w:rPr>
          <w:sz w:val="24"/>
          <w:szCs w:val="24"/>
        </w:rPr>
        <w:t>; and</w:t>
      </w:r>
    </w:p>
    <w:p w:rsidR="001A08EF" w:rsidRPr="00304323" w:rsidRDefault="001A08EF" w:rsidP="001A08EF">
      <w:pPr>
        <w:tabs>
          <w:tab w:val="left" w:pos="1440"/>
        </w:tabs>
        <w:spacing w:after="120"/>
        <w:ind w:left="1440" w:hanging="1440"/>
        <w:rPr>
          <w:sz w:val="24"/>
          <w:szCs w:val="24"/>
        </w:rPr>
      </w:pPr>
      <w:r w:rsidRPr="00304323">
        <w:rPr>
          <w:smallCaps/>
          <w:sz w:val="24"/>
          <w:szCs w:val="24"/>
        </w:rPr>
        <w:t>Whereas</w:t>
      </w:r>
      <w:r w:rsidRPr="00304323">
        <w:rPr>
          <w:sz w:val="24"/>
          <w:szCs w:val="24"/>
        </w:rPr>
        <w:t>:</w:t>
      </w:r>
      <w:r w:rsidRPr="00304323">
        <w:rPr>
          <w:sz w:val="24"/>
          <w:szCs w:val="24"/>
        </w:rPr>
        <w:tab/>
        <w:t>Although women have made gains in the struggle for equality in many  fields, much more needs to be accomplished to fully eradicate discrimination based on</w:t>
      </w:r>
      <w:r w:rsidR="00C74DC6">
        <w:rPr>
          <w:sz w:val="24"/>
          <w:szCs w:val="24"/>
        </w:rPr>
        <w:t xml:space="preserve"> gender </w:t>
      </w:r>
      <w:r w:rsidRPr="00304323">
        <w:rPr>
          <w:sz w:val="24"/>
          <w:szCs w:val="24"/>
        </w:rPr>
        <w:t>and to achieve one</w:t>
      </w:r>
      <w:r w:rsidR="00407F9C">
        <w:rPr>
          <w:sz w:val="24"/>
          <w:szCs w:val="24"/>
        </w:rPr>
        <w:t xml:space="preserve"> of the most basic human rights, that of </w:t>
      </w:r>
      <w:r w:rsidRPr="00304323">
        <w:rPr>
          <w:sz w:val="24"/>
          <w:szCs w:val="24"/>
        </w:rPr>
        <w:t xml:space="preserve">equality; and </w:t>
      </w:r>
    </w:p>
    <w:p w:rsidR="001A08EF" w:rsidRPr="00304323" w:rsidRDefault="001A08EF" w:rsidP="001A08EF">
      <w:pPr>
        <w:tabs>
          <w:tab w:val="left" w:pos="1440"/>
        </w:tabs>
        <w:spacing w:after="120"/>
        <w:ind w:left="1440" w:hanging="1440"/>
        <w:rPr>
          <w:sz w:val="24"/>
          <w:szCs w:val="24"/>
        </w:rPr>
      </w:pPr>
      <w:r w:rsidRPr="00304323">
        <w:rPr>
          <w:smallCaps/>
          <w:sz w:val="24"/>
          <w:szCs w:val="24"/>
        </w:rPr>
        <w:t>Whereas</w:t>
      </w:r>
      <w:r w:rsidRPr="00304323">
        <w:rPr>
          <w:sz w:val="24"/>
          <w:szCs w:val="24"/>
        </w:rPr>
        <w:t>:</w:t>
      </w:r>
      <w:r w:rsidRPr="00304323">
        <w:rPr>
          <w:sz w:val="24"/>
          <w:szCs w:val="24"/>
        </w:rPr>
        <w:tab/>
        <w:t xml:space="preserve">In 2014, Minnesota passed the Women’s Economic Security Act (WESA) which included steps toward closing the gender pay gap, expanding family and sick leave for working families, helping older women be economically secure, and providing support for women-owned small businesses; and </w:t>
      </w:r>
    </w:p>
    <w:p w:rsidR="001A08EF" w:rsidRPr="00304323" w:rsidRDefault="001A08EF" w:rsidP="001A08EF">
      <w:pPr>
        <w:tabs>
          <w:tab w:val="left" w:pos="1440"/>
        </w:tabs>
        <w:spacing w:after="120"/>
        <w:ind w:left="1440" w:hanging="1440"/>
        <w:rPr>
          <w:sz w:val="24"/>
          <w:szCs w:val="24"/>
        </w:rPr>
      </w:pPr>
      <w:r w:rsidRPr="00304323">
        <w:rPr>
          <w:smallCaps/>
          <w:sz w:val="24"/>
          <w:szCs w:val="24"/>
        </w:rPr>
        <w:t>Whereas</w:t>
      </w:r>
      <w:r w:rsidRPr="00304323">
        <w:rPr>
          <w:sz w:val="24"/>
          <w:szCs w:val="24"/>
        </w:rPr>
        <w:t>:</w:t>
      </w:r>
      <w:r w:rsidRPr="00304323">
        <w:rPr>
          <w:sz w:val="24"/>
          <w:szCs w:val="24"/>
        </w:rPr>
        <w:tab/>
      </w:r>
      <w:r w:rsidR="00E5364B">
        <w:rPr>
          <w:sz w:val="24"/>
          <w:szCs w:val="24"/>
        </w:rPr>
        <w:t xml:space="preserve">The St. Paul City </w:t>
      </w:r>
      <w:r w:rsidR="00C22BD3">
        <w:rPr>
          <w:sz w:val="24"/>
          <w:szCs w:val="24"/>
        </w:rPr>
        <w:t>Council desires to ensure that women and girls who live</w:t>
      </w:r>
      <w:r w:rsidRPr="00304323">
        <w:rPr>
          <w:sz w:val="24"/>
          <w:szCs w:val="24"/>
        </w:rPr>
        <w:t xml:space="preserve"> in </w:t>
      </w:r>
      <w:r w:rsidR="00E5364B">
        <w:rPr>
          <w:sz w:val="24"/>
          <w:szCs w:val="24"/>
        </w:rPr>
        <w:t>St. Paul</w:t>
      </w:r>
      <w:r w:rsidR="00407F9C">
        <w:rPr>
          <w:sz w:val="24"/>
          <w:szCs w:val="24"/>
        </w:rPr>
        <w:t xml:space="preserve"> enjoy </w:t>
      </w:r>
      <w:bookmarkStart w:id="0" w:name="_GoBack"/>
      <w:bookmarkEnd w:id="0"/>
      <w:r w:rsidRPr="00304323">
        <w:rPr>
          <w:sz w:val="24"/>
          <w:szCs w:val="24"/>
        </w:rPr>
        <w:t xml:space="preserve">all the  rights  and privileges and remedies that are bestowed on all people in the U.S., no matter race, national origin, gender, or religious belief, and </w:t>
      </w:r>
      <w:r w:rsidRPr="00304323">
        <w:rPr>
          <w:sz w:val="24"/>
          <w:szCs w:val="24"/>
        </w:rPr>
        <w:lastRenderedPageBreak/>
        <w:t>with a purpos</w:t>
      </w:r>
      <w:r w:rsidR="00E5364B">
        <w:rPr>
          <w:sz w:val="24"/>
          <w:szCs w:val="24"/>
        </w:rPr>
        <w:t xml:space="preserve">e to claim worldwide that St. Paul </w:t>
      </w:r>
      <w:r w:rsidRPr="00304323">
        <w:rPr>
          <w:sz w:val="24"/>
          <w:szCs w:val="24"/>
        </w:rPr>
        <w:t xml:space="preserve">is a city within which women can thrive and a city that will not tolerate discrimination against women and girls or violence perpetrated against them in any form, by any hand; and </w:t>
      </w:r>
    </w:p>
    <w:p w:rsidR="001A08EF" w:rsidRPr="00304323" w:rsidRDefault="001A08EF" w:rsidP="001A08EF">
      <w:pPr>
        <w:tabs>
          <w:tab w:val="left" w:pos="1440"/>
        </w:tabs>
        <w:spacing w:after="120"/>
        <w:ind w:left="1440" w:hanging="1440"/>
        <w:rPr>
          <w:sz w:val="24"/>
          <w:szCs w:val="24"/>
        </w:rPr>
      </w:pPr>
      <w:r w:rsidRPr="00304323">
        <w:rPr>
          <w:smallCaps/>
          <w:sz w:val="24"/>
          <w:szCs w:val="24"/>
        </w:rPr>
        <w:t>Whereas</w:t>
      </w:r>
      <w:r w:rsidRPr="00304323">
        <w:rPr>
          <w:sz w:val="24"/>
          <w:szCs w:val="24"/>
        </w:rPr>
        <w:t>:</w:t>
      </w:r>
      <w:r w:rsidRPr="00304323">
        <w:rPr>
          <w:sz w:val="24"/>
          <w:szCs w:val="24"/>
        </w:rPr>
        <w:tab/>
        <w:t>CEDAW provides a comprehensive framework for governments to examine their policies and practices in relation to women and girls and to rectify discrimination based on gender; and</w:t>
      </w:r>
    </w:p>
    <w:p w:rsidR="001A08EF" w:rsidRPr="00304323" w:rsidRDefault="001A08EF" w:rsidP="001A08EF">
      <w:pPr>
        <w:tabs>
          <w:tab w:val="left" w:pos="1440"/>
        </w:tabs>
        <w:spacing w:after="120"/>
        <w:ind w:left="1440" w:hanging="1440"/>
        <w:rPr>
          <w:sz w:val="24"/>
          <w:szCs w:val="24"/>
        </w:rPr>
      </w:pPr>
      <w:r w:rsidRPr="00304323">
        <w:rPr>
          <w:smallCaps/>
          <w:sz w:val="24"/>
          <w:szCs w:val="24"/>
        </w:rPr>
        <w:t>Whereas</w:t>
      </w:r>
      <w:r w:rsidRPr="00304323">
        <w:rPr>
          <w:sz w:val="24"/>
          <w:szCs w:val="24"/>
        </w:rPr>
        <w:t>:</w:t>
      </w:r>
      <w:r w:rsidRPr="00304323">
        <w:rPr>
          <w:sz w:val="24"/>
          <w:szCs w:val="24"/>
        </w:rPr>
        <w:tab/>
        <w:t>City and County governments have an appropriate and legitimate role affirming the importance of eliminating all forms of discrimination against women in communities as universal norms and to s</w:t>
      </w:r>
      <w:r w:rsidR="00304323">
        <w:rPr>
          <w:sz w:val="24"/>
          <w:szCs w:val="24"/>
        </w:rPr>
        <w:t>erve as guides for public polic</w:t>
      </w:r>
      <w:r w:rsidR="00C74DC6">
        <w:rPr>
          <w:sz w:val="24"/>
          <w:szCs w:val="24"/>
        </w:rPr>
        <w:t>y</w:t>
      </w:r>
      <w:r w:rsidRPr="00304323">
        <w:rPr>
          <w:sz w:val="24"/>
          <w:szCs w:val="24"/>
        </w:rPr>
        <w:t>; and</w:t>
      </w:r>
    </w:p>
    <w:p w:rsidR="001A08EF" w:rsidRPr="00304323" w:rsidRDefault="001A08EF" w:rsidP="001A08EF">
      <w:pPr>
        <w:pStyle w:val="Title"/>
        <w:jc w:val="left"/>
        <w:rPr>
          <w:rFonts w:asciiTheme="minorHAnsi" w:hAnsiTheme="minorHAnsi"/>
          <w:b/>
          <w:smallCaps/>
          <w:sz w:val="24"/>
          <w:szCs w:val="24"/>
        </w:rPr>
      </w:pPr>
      <w:r w:rsidRPr="00304323">
        <w:rPr>
          <w:rFonts w:asciiTheme="minorHAnsi" w:hAnsiTheme="minorHAnsi"/>
          <w:b/>
          <w:smallCaps/>
          <w:sz w:val="24"/>
          <w:szCs w:val="24"/>
        </w:rPr>
        <w:t>Now, theref</w:t>
      </w:r>
      <w:r w:rsidR="00E5364B">
        <w:rPr>
          <w:rFonts w:asciiTheme="minorHAnsi" w:hAnsiTheme="minorHAnsi"/>
          <w:b/>
          <w:smallCaps/>
          <w:sz w:val="24"/>
          <w:szCs w:val="24"/>
        </w:rPr>
        <w:t>ore, be it resolved by the St. Paul</w:t>
      </w:r>
      <w:r w:rsidRPr="00304323">
        <w:rPr>
          <w:rFonts w:asciiTheme="minorHAnsi" w:hAnsiTheme="minorHAnsi"/>
          <w:b/>
          <w:smallCaps/>
          <w:sz w:val="24"/>
          <w:szCs w:val="24"/>
        </w:rPr>
        <w:t xml:space="preserve"> City C</w:t>
      </w:r>
      <w:r w:rsidR="00304323">
        <w:rPr>
          <w:rFonts w:asciiTheme="minorHAnsi" w:hAnsiTheme="minorHAnsi"/>
          <w:b/>
          <w:smallCaps/>
          <w:sz w:val="24"/>
          <w:szCs w:val="24"/>
        </w:rPr>
        <w:t>ouncil,</w:t>
      </w:r>
    </w:p>
    <w:p w:rsidR="001A08EF" w:rsidRPr="00304323" w:rsidRDefault="001A08EF" w:rsidP="001A08EF">
      <w:pPr>
        <w:rPr>
          <w:smallCaps/>
          <w:snapToGrid w:val="0"/>
          <w:sz w:val="24"/>
          <w:szCs w:val="24"/>
        </w:rPr>
      </w:pPr>
      <w:r w:rsidRPr="00304323">
        <w:rPr>
          <w:smallCaps/>
          <w:snapToGrid w:val="0"/>
          <w:sz w:val="24"/>
          <w:szCs w:val="24"/>
        </w:rPr>
        <w:tab/>
      </w:r>
    </w:p>
    <w:p w:rsidR="001A08EF" w:rsidRPr="00304323" w:rsidRDefault="00E5364B" w:rsidP="001A08EF">
      <w:pPr>
        <w:rPr>
          <w:b/>
          <w:smallCaps/>
          <w:snapToGrid w:val="0"/>
          <w:sz w:val="24"/>
          <w:szCs w:val="24"/>
        </w:rPr>
      </w:pPr>
      <w:r>
        <w:rPr>
          <w:b/>
          <w:smallCaps/>
          <w:snapToGrid w:val="0"/>
          <w:sz w:val="24"/>
          <w:szCs w:val="24"/>
        </w:rPr>
        <w:t>That The City of St. Paul</w:t>
      </w:r>
      <w:r w:rsidR="001A08EF" w:rsidRPr="00304323">
        <w:rPr>
          <w:b/>
          <w:smallCaps/>
          <w:snapToGrid w:val="0"/>
          <w:sz w:val="24"/>
          <w:szCs w:val="24"/>
        </w:rPr>
        <w:t xml:space="preserve">  is committed to eliminating all forms of violence against women and girls, to promoting the health and safety of women and girls, and to affording them equal academic, economic,  and</w:t>
      </w:r>
      <w:r>
        <w:rPr>
          <w:b/>
          <w:smallCaps/>
          <w:snapToGrid w:val="0"/>
          <w:sz w:val="24"/>
          <w:szCs w:val="24"/>
        </w:rPr>
        <w:t xml:space="preserve"> business opportunities in St. Paul</w:t>
      </w:r>
      <w:r w:rsidR="001A08EF" w:rsidRPr="00304323">
        <w:rPr>
          <w:b/>
          <w:smallCaps/>
          <w:snapToGrid w:val="0"/>
          <w:sz w:val="24"/>
          <w:szCs w:val="24"/>
        </w:rPr>
        <w:t>, Minnesota.</w:t>
      </w:r>
    </w:p>
    <w:p w:rsidR="001A08EF" w:rsidRPr="00304323" w:rsidRDefault="001A08EF" w:rsidP="001A08EF">
      <w:pPr>
        <w:rPr>
          <w:b/>
          <w:smallCaps/>
          <w:snapToGrid w:val="0"/>
          <w:sz w:val="24"/>
          <w:szCs w:val="24"/>
        </w:rPr>
      </w:pPr>
    </w:p>
    <w:p w:rsidR="001A08EF" w:rsidRPr="00304323" w:rsidRDefault="001A08EF" w:rsidP="001A08EF">
      <w:pPr>
        <w:ind w:left="3960" w:firstLine="720"/>
        <w:rPr>
          <w:snapToGrid w:val="0"/>
          <w:sz w:val="24"/>
          <w:szCs w:val="24"/>
        </w:rPr>
      </w:pPr>
    </w:p>
    <w:p w:rsidR="001A08EF" w:rsidRPr="00304323" w:rsidRDefault="001A08EF" w:rsidP="001A08EF">
      <w:pPr>
        <w:ind w:left="4680"/>
        <w:rPr>
          <w:snapToGrid w:val="0"/>
          <w:sz w:val="24"/>
          <w:szCs w:val="24"/>
        </w:rPr>
      </w:pPr>
      <w:r w:rsidRPr="00304323">
        <w:rPr>
          <w:snapToGrid w:val="0"/>
          <w:sz w:val="24"/>
          <w:szCs w:val="24"/>
        </w:rPr>
        <w:t>Passed by the City Council this the</w:t>
      </w:r>
    </w:p>
    <w:p w:rsidR="001A08EF" w:rsidRPr="00304323" w:rsidRDefault="001A08EF" w:rsidP="001A08EF">
      <w:pPr>
        <w:ind w:left="4680"/>
        <w:rPr>
          <w:snapToGrid w:val="0"/>
          <w:sz w:val="24"/>
          <w:szCs w:val="24"/>
        </w:rPr>
      </w:pPr>
      <w:r w:rsidRPr="00304323">
        <w:rPr>
          <w:sz w:val="24"/>
          <w:szCs w:val="24"/>
        </w:rPr>
        <w:t>_______________________________________</w:t>
      </w:r>
    </w:p>
    <w:p w:rsidR="001A08EF" w:rsidRPr="00304323" w:rsidRDefault="001A08EF" w:rsidP="001A08EF">
      <w:pPr>
        <w:ind w:left="4680"/>
        <w:rPr>
          <w:smallCaps/>
          <w:snapToGrid w:val="0"/>
          <w:spacing w:val="28"/>
          <w:sz w:val="24"/>
          <w:szCs w:val="24"/>
        </w:rPr>
      </w:pPr>
      <w:r w:rsidRPr="00304323">
        <w:rPr>
          <w:smallCaps/>
          <w:snapToGrid w:val="0"/>
          <w:spacing w:val="28"/>
          <w:sz w:val="24"/>
          <w:szCs w:val="24"/>
        </w:rPr>
        <w:t>approved:</w:t>
      </w:r>
    </w:p>
    <w:p w:rsidR="001A08EF" w:rsidRPr="00304323" w:rsidRDefault="001A08EF" w:rsidP="001A08EF">
      <w:pPr>
        <w:pBdr>
          <w:bottom w:val="single" w:sz="12" w:space="1" w:color="auto"/>
        </w:pBdr>
        <w:ind w:left="4680"/>
        <w:rPr>
          <w:snapToGrid w:val="0"/>
          <w:sz w:val="24"/>
          <w:szCs w:val="24"/>
        </w:rPr>
      </w:pPr>
    </w:p>
    <w:p w:rsidR="001A08EF" w:rsidRPr="00304323" w:rsidRDefault="00E5364B" w:rsidP="00304323">
      <w:pPr>
        <w:ind w:left="4680"/>
        <w:rPr>
          <w:snapToGrid w:val="0"/>
          <w:sz w:val="24"/>
          <w:szCs w:val="24"/>
        </w:rPr>
      </w:pPr>
      <w:r>
        <w:rPr>
          <w:snapToGrid w:val="0"/>
          <w:sz w:val="24"/>
          <w:szCs w:val="24"/>
        </w:rPr>
        <w:t>Chris Coleman</w:t>
      </w:r>
      <w:r w:rsidR="001A08EF" w:rsidRPr="00304323">
        <w:rPr>
          <w:snapToGrid w:val="0"/>
          <w:sz w:val="24"/>
          <w:szCs w:val="24"/>
        </w:rPr>
        <w:t xml:space="preserve">, </w:t>
      </w:r>
      <w:r w:rsidR="001A08EF" w:rsidRPr="00304323">
        <w:rPr>
          <w:i/>
          <w:snapToGrid w:val="0"/>
          <w:sz w:val="24"/>
          <w:szCs w:val="24"/>
        </w:rPr>
        <w:t>Mayor</w:t>
      </w:r>
    </w:p>
    <w:p w:rsidR="001A08EF" w:rsidRPr="00304323" w:rsidRDefault="001A08EF" w:rsidP="001A08EF">
      <w:pPr>
        <w:ind w:left="4680"/>
        <w:rPr>
          <w:smallCaps/>
          <w:snapToGrid w:val="0"/>
          <w:spacing w:val="28"/>
          <w:sz w:val="24"/>
          <w:szCs w:val="24"/>
        </w:rPr>
      </w:pPr>
    </w:p>
    <w:p w:rsidR="001A08EF" w:rsidRPr="00304323" w:rsidRDefault="001A08EF" w:rsidP="001A08EF">
      <w:pPr>
        <w:rPr>
          <w:smallCaps/>
          <w:snapToGrid w:val="0"/>
          <w:spacing w:val="28"/>
          <w:sz w:val="24"/>
          <w:szCs w:val="24"/>
        </w:rPr>
      </w:pPr>
    </w:p>
    <w:p w:rsidR="001A08EF" w:rsidRPr="00304323" w:rsidRDefault="001A08EF" w:rsidP="001A08EF">
      <w:pPr>
        <w:ind w:left="4680"/>
        <w:rPr>
          <w:smallCaps/>
          <w:snapToGrid w:val="0"/>
          <w:sz w:val="24"/>
          <w:szCs w:val="24"/>
        </w:rPr>
      </w:pPr>
      <w:r w:rsidRPr="00304323">
        <w:rPr>
          <w:smallCaps/>
          <w:snapToGrid w:val="0"/>
          <w:spacing w:val="28"/>
          <w:sz w:val="24"/>
          <w:szCs w:val="24"/>
        </w:rPr>
        <w:t>attest</w:t>
      </w:r>
      <w:r w:rsidRPr="00304323">
        <w:rPr>
          <w:smallCaps/>
          <w:snapToGrid w:val="0"/>
          <w:sz w:val="24"/>
          <w:szCs w:val="24"/>
        </w:rPr>
        <w:t>:</w:t>
      </w:r>
    </w:p>
    <w:p w:rsidR="001A08EF" w:rsidRPr="00304323" w:rsidRDefault="001A08EF" w:rsidP="001A08EF">
      <w:pPr>
        <w:ind w:left="4680"/>
        <w:rPr>
          <w:snapToGrid w:val="0"/>
          <w:sz w:val="24"/>
          <w:szCs w:val="24"/>
        </w:rPr>
      </w:pPr>
    </w:p>
    <w:p w:rsidR="001A08EF" w:rsidRPr="00304323" w:rsidRDefault="001A08EF" w:rsidP="001A08EF">
      <w:pPr>
        <w:ind w:left="4680"/>
        <w:rPr>
          <w:snapToGrid w:val="0"/>
          <w:sz w:val="24"/>
          <w:szCs w:val="24"/>
        </w:rPr>
      </w:pPr>
      <w:r w:rsidRPr="00304323">
        <w:rPr>
          <w:sz w:val="24"/>
          <w:szCs w:val="24"/>
        </w:rPr>
        <w:t>_______________________________________</w:t>
      </w:r>
    </w:p>
    <w:p w:rsidR="001A08EF" w:rsidRPr="00304323" w:rsidRDefault="001A08EF" w:rsidP="001A08EF">
      <w:pPr>
        <w:rPr>
          <w:sz w:val="24"/>
          <w:szCs w:val="24"/>
        </w:rPr>
      </w:pPr>
    </w:p>
    <w:sectPr w:rsidR="001A08EF" w:rsidRPr="00304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D Merce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arJoe 2">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EF"/>
    <w:rsid w:val="000445C0"/>
    <w:rsid w:val="001A08EF"/>
    <w:rsid w:val="00304323"/>
    <w:rsid w:val="00407F9C"/>
    <w:rsid w:val="00443B79"/>
    <w:rsid w:val="004A4DE7"/>
    <w:rsid w:val="005A12EC"/>
    <w:rsid w:val="00AB7D3D"/>
    <w:rsid w:val="00C22BD3"/>
    <w:rsid w:val="00C74DC6"/>
    <w:rsid w:val="00D6184E"/>
    <w:rsid w:val="00E5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08EF"/>
    <w:pPr>
      <w:spacing w:after="0" w:line="240" w:lineRule="auto"/>
      <w:jc w:val="center"/>
    </w:pPr>
    <w:rPr>
      <w:rFonts w:ascii="BD Merced" w:eastAsia="Times New Roman" w:hAnsi="BD Merced" w:cs="Times New Roman"/>
      <w:sz w:val="56"/>
      <w:szCs w:val="20"/>
    </w:rPr>
  </w:style>
  <w:style w:type="character" w:customStyle="1" w:styleId="TitleChar">
    <w:name w:val="Title Char"/>
    <w:basedOn w:val="DefaultParagraphFont"/>
    <w:link w:val="Title"/>
    <w:rsid w:val="001A08EF"/>
    <w:rPr>
      <w:rFonts w:ascii="BD Merced" w:eastAsia="Times New Roman" w:hAnsi="BD Merced" w:cs="Times New Roman"/>
      <w:sz w:val="56"/>
      <w:szCs w:val="20"/>
    </w:rPr>
  </w:style>
  <w:style w:type="paragraph" w:styleId="BodyText2">
    <w:name w:val="Body Text 2"/>
    <w:basedOn w:val="Normal"/>
    <w:link w:val="BodyText2Char"/>
    <w:rsid w:val="001A08EF"/>
    <w:pPr>
      <w:spacing w:after="0" w:line="240" w:lineRule="auto"/>
      <w:jc w:val="center"/>
    </w:pPr>
    <w:rPr>
      <w:rFonts w:ascii="Times New Roman" w:eastAsia="Times New Roman" w:hAnsi="Times New Roman" w:cs="Times New Roman"/>
      <w:b/>
      <w:sz w:val="20"/>
      <w:szCs w:val="20"/>
    </w:rPr>
  </w:style>
  <w:style w:type="character" w:customStyle="1" w:styleId="BodyText2Char">
    <w:name w:val="Body Text 2 Char"/>
    <w:basedOn w:val="DefaultParagraphFont"/>
    <w:link w:val="BodyText2"/>
    <w:rsid w:val="001A08EF"/>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1A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08EF"/>
    <w:pPr>
      <w:spacing w:after="0" w:line="240" w:lineRule="auto"/>
      <w:jc w:val="center"/>
    </w:pPr>
    <w:rPr>
      <w:rFonts w:ascii="BD Merced" w:eastAsia="Times New Roman" w:hAnsi="BD Merced" w:cs="Times New Roman"/>
      <w:sz w:val="56"/>
      <w:szCs w:val="20"/>
    </w:rPr>
  </w:style>
  <w:style w:type="character" w:customStyle="1" w:styleId="TitleChar">
    <w:name w:val="Title Char"/>
    <w:basedOn w:val="DefaultParagraphFont"/>
    <w:link w:val="Title"/>
    <w:rsid w:val="001A08EF"/>
    <w:rPr>
      <w:rFonts w:ascii="BD Merced" w:eastAsia="Times New Roman" w:hAnsi="BD Merced" w:cs="Times New Roman"/>
      <w:sz w:val="56"/>
      <w:szCs w:val="20"/>
    </w:rPr>
  </w:style>
  <w:style w:type="paragraph" w:styleId="BodyText2">
    <w:name w:val="Body Text 2"/>
    <w:basedOn w:val="Normal"/>
    <w:link w:val="BodyText2Char"/>
    <w:rsid w:val="001A08EF"/>
    <w:pPr>
      <w:spacing w:after="0" w:line="240" w:lineRule="auto"/>
      <w:jc w:val="center"/>
    </w:pPr>
    <w:rPr>
      <w:rFonts w:ascii="Times New Roman" w:eastAsia="Times New Roman" w:hAnsi="Times New Roman" w:cs="Times New Roman"/>
      <w:b/>
      <w:sz w:val="20"/>
      <w:szCs w:val="20"/>
    </w:rPr>
  </w:style>
  <w:style w:type="character" w:customStyle="1" w:styleId="BodyText2Char">
    <w:name w:val="Body Text 2 Char"/>
    <w:basedOn w:val="DefaultParagraphFont"/>
    <w:link w:val="BodyText2"/>
    <w:rsid w:val="001A08EF"/>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1A0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8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EJK</dc:creator>
  <cp:lastModifiedBy>Leigh</cp:lastModifiedBy>
  <cp:revision>5</cp:revision>
  <dcterms:created xsi:type="dcterms:W3CDTF">2016-02-05T16:48:00Z</dcterms:created>
  <dcterms:modified xsi:type="dcterms:W3CDTF">2016-02-05T16:55:00Z</dcterms:modified>
</cp:coreProperties>
</file>